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9C0" w:rsidRPr="00330C52" w:rsidRDefault="00D869C0" w:rsidP="00D869C0">
      <w:pPr>
        <w:jc w:val="center"/>
        <w:rPr>
          <w:b/>
          <w:sz w:val="28"/>
          <w:szCs w:val="28"/>
        </w:rPr>
      </w:pPr>
      <w:r w:rsidRPr="00330C52">
        <w:rPr>
          <w:b/>
          <w:sz w:val="28"/>
          <w:szCs w:val="28"/>
        </w:rPr>
        <w:t>O</w:t>
      </w:r>
      <w:r>
        <w:rPr>
          <w:b/>
          <w:sz w:val="28"/>
          <w:szCs w:val="28"/>
        </w:rPr>
        <w:t xml:space="preserve"> </w:t>
      </w:r>
      <w:r w:rsidRPr="00330C52">
        <w:rPr>
          <w:b/>
          <w:sz w:val="28"/>
          <w:szCs w:val="28"/>
        </w:rPr>
        <w:t>b</w:t>
      </w:r>
      <w:r>
        <w:rPr>
          <w:b/>
          <w:sz w:val="28"/>
          <w:szCs w:val="28"/>
        </w:rPr>
        <w:t xml:space="preserve"> </w:t>
      </w:r>
      <w:r w:rsidRPr="00330C52">
        <w:rPr>
          <w:b/>
          <w:sz w:val="28"/>
          <w:szCs w:val="28"/>
        </w:rPr>
        <w:t>r</w:t>
      </w:r>
      <w:r>
        <w:rPr>
          <w:b/>
          <w:sz w:val="28"/>
          <w:szCs w:val="28"/>
        </w:rPr>
        <w:t xml:space="preserve"> </w:t>
      </w:r>
      <w:r w:rsidRPr="00330C52">
        <w:rPr>
          <w:b/>
          <w:sz w:val="28"/>
          <w:szCs w:val="28"/>
        </w:rPr>
        <w:t>a</w:t>
      </w:r>
      <w:r>
        <w:rPr>
          <w:b/>
          <w:sz w:val="28"/>
          <w:szCs w:val="28"/>
        </w:rPr>
        <w:t xml:space="preserve"> </w:t>
      </w:r>
      <w:r w:rsidRPr="00330C52">
        <w:rPr>
          <w:b/>
          <w:sz w:val="28"/>
          <w:szCs w:val="28"/>
        </w:rPr>
        <w:t>z</w:t>
      </w:r>
      <w:r>
        <w:rPr>
          <w:b/>
          <w:sz w:val="28"/>
          <w:szCs w:val="28"/>
        </w:rPr>
        <w:t xml:space="preserve"> </w:t>
      </w:r>
      <w:r w:rsidRPr="00330C52">
        <w:rPr>
          <w:b/>
          <w:sz w:val="28"/>
          <w:szCs w:val="28"/>
        </w:rPr>
        <w:t>l</w:t>
      </w:r>
      <w:r>
        <w:rPr>
          <w:b/>
          <w:sz w:val="28"/>
          <w:szCs w:val="28"/>
        </w:rPr>
        <w:t xml:space="preserve"> </w:t>
      </w:r>
      <w:r w:rsidRPr="00330C52">
        <w:rPr>
          <w:b/>
          <w:sz w:val="28"/>
          <w:szCs w:val="28"/>
        </w:rPr>
        <w:t>o</w:t>
      </w:r>
      <w:r>
        <w:rPr>
          <w:b/>
          <w:sz w:val="28"/>
          <w:szCs w:val="28"/>
        </w:rPr>
        <w:t xml:space="preserve"> </w:t>
      </w:r>
      <w:r w:rsidRPr="00330C52">
        <w:rPr>
          <w:b/>
          <w:sz w:val="28"/>
          <w:szCs w:val="28"/>
        </w:rPr>
        <w:t>ž</w:t>
      </w:r>
      <w:r>
        <w:rPr>
          <w:b/>
          <w:sz w:val="28"/>
          <w:szCs w:val="28"/>
        </w:rPr>
        <w:t xml:space="preserve"> </w:t>
      </w:r>
      <w:r w:rsidRPr="00330C52">
        <w:rPr>
          <w:b/>
          <w:sz w:val="28"/>
          <w:szCs w:val="28"/>
        </w:rPr>
        <w:t>i</w:t>
      </w:r>
      <w:r>
        <w:rPr>
          <w:b/>
          <w:sz w:val="28"/>
          <w:szCs w:val="28"/>
        </w:rPr>
        <w:t xml:space="preserve"> </w:t>
      </w:r>
      <w:r w:rsidRPr="00330C52">
        <w:rPr>
          <w:b/>
          <w:sz w:val="28"/>
          <w:szCs w:val="28"/>
        </w:rPr>
        <w:t>t</w:t>
      </w:r>
      <w:r>
        <w:rPr>
          <w:b/>
          <w:sz w:val="28"/>
          <w:szCs w:val="28"/>
        </w:rPr>
        <w:t xml:space="preserve"> </w:t>
      </w:r>
      <w:r w:rsidRPr="00330C52">
        <w:rPr>
          <w:b/>
          <w:sz w:val="28"/>
          <w:szCs w:val="28"/>
        </w:rPr>
        <w:t>e</w:t>
      </w:r>
      <w:r>
        <w:rPr>
          <w:b/>
          <w:sz w:val="28"/>
          <w:szCs w:val="28"/>
        </w:rPr>
        <w:t xml:space="preserve"> </w:t>
      </w:r>
      <w:r w:rsidRPr="00330C52">
        <w:rPr>
          <w:b/>
          <w:sz w:val="28"/>
          <w:szCs w:val="28"/>
        </w:rPr>
        <w:t>v</w:t>
      </w:r>
    </w:p>
    <w:p w:rsidR="00D869C0" w:rsidRDefault="00D869C0" w:rsidP="00D869C0">
      <w:pPr>
        <w:rPr>
          <w:sz w:val="24"/>
        </w:rPr>
      </w:pPr>
    </w:p>
    <w:p w:rsidR="00D869C0" w:rsidRDefault="00D869C0" w:rsidP="00D869C0">
      <w:pPr>
        <w:jc w:val="both"/>
        <w:rPr>
          <w:sz w:val="24"/>
        </w:rPr>
      </w:pPr>
    </w:p>
    <w:p w:rsidR="00D869C0" w:rsidRDefault="00D869C0" w:rsidP="00D869C0">
      <w:pPr>
        <w:jc w:val="both"/>
        <w:rPr>
          <w:sz w:val="24"/>
        </w:rPr>
      </w:pPr>
    </w:p>
    <w:p w:rsidR="00D869C0" w:rsidRDefault="00D869C0" w:rsidP="00D869C0">
      <w:pPr>
        <w:jc w:val="both"/>
        <w:rPr>
          <w:sz w:val="24"/>
        </w:rPr>
      </w:pPr>
      <w:r>
        <w:rPr>
          <w:sz w:val="24"/>
        </w:rPr>
        <w:t xml:space="preserve">Na podlagi 5. člena in tretjega odstavka 6. člena Uredbe o metodologiji za oblikovanje cen storitev obveznih občinskih gospodarskih javnih služb varstva okolja (Uradni list RS, št. 87/2012 in 109/2012 - v nadaljevanju:Uredba) je izvajalec javne službe izdelal elaborat za javno službo oskrba s pitno vodo, s katerim je ugotavljal razliko med potrjeno in obračunsko ceno opravljenih storitev za preteklo obračunsko obdobje. </w:t>
      </w:r>
    </w:p>
    <w:p w:rsidR="00D869C0" w:rsidRDefault="00D869C0" w:rsidP="00D869C0">
      <w:pPr>
        <w:jc w:val="both"/>
        <w:rPr>
          <w:sz w:val="24"/>
        </w:rPr>
      </w:pPr>
      <w:r>
        <w:rPr>
          <w:sz w:val="24"/>
        </w:rPr>
        <w:t xml:space="preserve">Cene storitev oskrbe s pitno vodo v Mestni občini Murska Sobota so bile oblikovane z Elaboratom o oblikovanju cene izvajanja storitev javne službe oskrba s pitno vodo, št. V05-005/2013-BZ, januar 2013 in potrjene s sklepom Mestnega sveta mestne občine Murska Sobota, št. 354-0007/2013-3 (180), dne 24. januarja 2013. Cene so se pričele uporabljati s 1. februarjem 2013. </w:t>
      </w:r>
    </w:p>
    <w:p w:rsidR="00D869C0" w:rsidRDefault="00D869C0" w:rsidP="00D869C0">
      <w:pPr>
        <w:jc w:val="both"/>
        <w:rPr>
          <w:sz w:val="24"/>
        </w:rPr>
      </w:pPr>
      <w:r>
        <w:rPr>
          <w:sz w:val="24"/>
        </w:rPr>
        <w:t>Cena storitev javne službe oskrba s pitno vodo, ki se zaračuna uporabnikom na računu, je sestavljena iz:</w:t>
      </w:r>
    </w:p>
    <w:p w:rsidR="00D869C0" w:rsidRDefault="00D869C0" w:rsidP="00D869C0">
      <w:pPr>
        <w:numPr>
          <w:ilvl w:val="0"/>
          <w:numId w:val="1"/>
        </w:numPr>
        <w:jc w:val="both"/>
        <w:rPr>
          <w:sz w:val="24"/>
        </w:rPr>
      </w:pPr>
      <w:proofErr w:type="spellStart"/>
      <w:r w:rsidRPr="00936FA9">
        <w:rPr>
          <w:sz w:val="24"/>
        </w:rPr>
        <w:t>omrežnine</w:t>
      </w:r>
      <w:proofErr w:type="spellEnd"/>
      <w:r w:rsidRPr="00936FA9">
        <w:rPr>
          <w:sz w:val="24"/>
        </w:rPr>
        <w:t xml:space="preserve"> o</w:t>
      </w:r>
      <w:r>
        <w:rPr>
          <w:sz w:val="24"/>
        </w:rPr>
        <w:t>skrbe s pitno vodo</w:t>
      </w:r>
      <w:r w:rsidRPr="00936FA9">
        <w:rPr>
          <w:sz w:val="24"/>
        </w:rPr>
        <w:t xml:space="preserve">, ki pokriva letne stroške javne infrastrukture, ki je namenjena </w:t>
      </w:r>
      <w:r>
        <w:rPr>
          <w:sz w:val="24"/>
        </w:rPr>
        <w:t>oskrbi s pitno vodo</w:t>
      </w:r>
      <w:r w:rsidRPr="00936FA9">
        <w:rPr>
          <w:sz w:val="24"/>
        </w:rPr>
        <w:t xml:space="preserve"> na območju Mestne občine Murska Sobota in se uporabnikom zaračunava mesečno (v dvanajstinah) glede na zmogljivost priključka (velikost vodomera).</w:t>
      </w:r>
      <w:r>
        <w:rPr>
          <w:sz w:val="24"/>
        </w:rPr>
        <w:t xml:space="preserve"> Za večje dimenzije priključka veljajo faktorji iz Uredbe.</w:t>
      </w:r>
      <w:r w:rsidRPr="00936FA9">
        <w:rPr>
          <w:sz w:val="24"/>
        </w:rPr>
        <w:t xml:space="preserve"> </w:t>
      </w:r>
      <w:r>
        <w:rPr>
          <w:sz w:val="24"/>
        </w:rPr>
        <w:t>Cena je izražena v EUR/enoto na mesec;</w:t>
      </w:r>
    </w:p>
    <w:p w:rsidR="00D869C0" w:rsidRDefault="00D869C0" w:rsidP="00D869C0">
      <w:pPr>
        <w:numPr>
          <w:ilvl w:val="0"/>
          <w:numId w:val="1"/>
        </w:numPr>
        <w:jc w:val="both"/>
        <w:rPr>
          <w:sz w:val="24"/>
        </w:rPr>
      </w:pPr>
      <w:r>
        <w:rPr>
          <w:sz w:val="24"/>
        </w:rPr>
        <w:t>vodarine, ki se obračuna na podlagi porabljene količine pitne vode. Cena je enotna za vse uporabnike in je izražena v EUR/m</w:t>
      </w:r>
      <w:r>
        <w:rPr>
          <w:sz w:val="24"/>
          <w:vertAlign w:val="superscript"/>
        </w:rPr>
        <w:t>3</w:t>
      </w:r>
      <w:r>
        <w:rPr>
          <w:sz w:val="24"/>
        </w:rPr>
        <w:t xml:space="preserve">. V ceni so zajeta vodna povračila za vodne izgube, ki jih določa Vlada RS s sklepom in se zaračunavajo na podlagi Uredbe o vodnih povračilih (Uradni list RS, št. 103/202 in 122/2007). </w:t>
      </w:r>
    </w:p>
    <w:p w:rsidR="00D869C0" w:rsidRPr="00660C90" w:rsidRDefault="00D869C0" w:rsidP="00D869C0">
      <w:pPr>
        <w:jc w:val="both"/>
        <w:rPr>
          <w:sz w:val="24"/>
        </w:rPr>
      </w:pPr>
      <w:r>
        <w:rPr>
          <w:sz w:val="24"/>
        </w:rPr>
        <w:t xml:space="preserve">Uporabnikom, ki imajo za obračunskim vodomerom nameščen dodaten vodomer, na podlagi katerega se deli poraba vode znotraj internega omrežja, se zaračunava tudi </w:t>
      </w:r>
      <w:r w:rsidRPr="00660C90">
        <w:rPr>
          <w:i/>
          <w:sz w:val="24"/>
        </w:rPr>
        <w:t>vzdrževanje vodomera.</w:t>
      </w:r>
      <w:r>
        <w:rPr>
          <w:i/>
          <w:sz w:val="24"/>
        </w:rPr>
        <w:t xml:space="preserve"> </w:t>
      </w:r>
      <w:r>
        <w:rPr>
          <w:sz w:val="24"/>
        </w:rPr>
        <w:t>Cena je sprejeta z internim cenikom izvajalca in se uporablja na območju vseh občin, ki se oskrbujejo s pitno vodo iz vodovodnega sistema Murska Sobota od 1. februarja 2013 dalje. Cena je izražena v EUR/enoto/mesec.</w:t>
      </w:r>
    </w:p>
    <w:p w:rsidR="00D869C0" w:rsidRDefault="00D869C0" w:rsidP="00D869C0">
      <w:pPr>
        <w:jc w:val="both"/>
        <w:rPr>
          <w:sz w:val="24"/>
        </w:rPr>
      </w:pPr>
    </w:p>
    <w:p w:rsidR="00D869C0" w:rsidRDefault="00D869C0" w:rsidP="00D869C0">
      <w:pPr>
        <w:jc w:val="both"/>
        <w:rPr>
          <w:sz w:val="24"/>
        </w:rPr>
      </w:pPr>
      <w:r>
        <w:rPr>
          <w:sz w:val="24"/>
        </w:rPr>
        <w:t xml:space="preserve">Elaborat vsebuje vsebino predpisano v 9. členu Uredbe. Poudarek je na postavki storitev oskrbe s pitno vodo v tistem delu, ker se ugotavlja razlika med potrjeno ceno in obračunsko ceno opravljenih storitev za preteklo obračunsko obdobje. Ugotovljena razlika med potrjeno ceno in obračunsko ceno glede na dejansko količino opravljenih storitev v preteklem obračunskem obdobju se v tem elaboratu upošteva pri izračunu predračunske cene za naslednje obdobje. Če razlika presega deset odstotkov od potrjene cene, mora biti elaborat poslan pristojnemu občinskemu organu, ki mora izvesti postopek potrjevanja cene. </w:t>
      </w:r>
    </w:p>
    <w:p w:rsidR="00D869C0" w:rsidRDefault="00D869C0" w:rsidP="00D869C0">
      <w:pPr>
        <w:jc w:val="both"/>
        <w:rPr>
          <w:sz w:val="24"/>
        </w:rPr>
      </w:pPr>
    </w:p>
    <w:p w:rsidR="00D869C0" w:rsidRDefault="00D869C0" w:rsidP="00D869C0">
      <w:pPr>
        <w:jc w:val="both"/>
        <w:rPr>
          <w:sz w:val="24"/>
        </w:rPr>
      </w:pPr>
      <w:r>
        <w:rPr>
          <w:sz w:val="24"/>
        </w:rPr>
        <w:t>Sprememba predračunske cene predmetne storitve (</w:t>
      </w:r>
      <w:proofErr w:type="spellStart"/>
      <w:r>
        <w:rPr>
          <w:sz w:val="24"/>
        </w:rPr>
        <w:t>tč.17</w:t>
      </w:r>
      <w:proofErr w:type="spellEnd"/>
      <w:r>
        <w:rPr>
          <w:sz w:val="24"/>
        </w:rPr>
        <w:t xml:space="preserve"> - izračun vodarine) predstavlja povišanje v višini 24,14 %. Ker sprememba predračunske cene oskrbe s pitno vodo predstavlja povišanje za več kot 10 % obstoječe cene in znaša 0,4345 EUR/m³,</w:t>
      </w:r>
      <w:r>
        <w:rPr>
          <w:sz w:val="24"/>
          <w:vertAlign w:val="superscript"/>
        </w:rPr>
        <w:t xml:space="preserve"> </w:t>
      </w:r>
      <w:r>
        <w:rPr>
          <w:sz w:val="24"/>
        </w:rPr>
        <w:t>mora izvajalec javne službe izdelan elaborat posredovati pristojnemu organu občine, da začne postopek potrjevanja cen. Pojasnilo odmikov obračunske cene od predračunske in potrjene cene storitev je podano na strani 12 pod tč. 3.1. in sicer je obračunska cena višja od predračunske in potrjene cene za 2,83 %. Razlog za odstopanje je manjša količina prodane vode v letu 2013 za 8,23 % glede na načrtovano - predračunsko porabo vode. Ker količina prodane vode stagnira, bo v primerjavi z letom 2013 ob koncu leta 2014 poraba vode manjša od načrtovane za 125.258 m</w:t>
      </w:r>
      <w:r>
        <w:rPr>
          <w:sz w:val="24"/>
          <w:vertAlign w:val="superscript"/>
        </w:rPr>
        <w:t>3</w:t>
      </w:r>
      <w:r>
        <w:rPr>
          <w:sz w:val="24"/>
        </w:rPr>
        <w:t xml:space="preserve">. To predstavlja poglavitni razlog za negativen rezultat iz naslova vodarine v letu 2014. Prikaz količin porabe vode je naveden pod tč.8.1. Po drugi strani pa se je povečanje obračunske cene na račun nižje </w:t>
      </w:r>
      <w:r>
        <w:rPr>
          <w:sz w:val="24"/>
        </w:rPr>
        <w:lastRenderedPageBreak/>
        <w:t>količine prodane vode omililo z nižjimi stroški poslovanja, ki so manjši za 5,63 % od načrtovanih.</w:t>
      </w:r>
    </w:p>
    <w:p w:rsidR="00D869C0" w:rsidRDefault="00D869C0" w:rsidP="00D869C0">
      <w:pPr>
        <w:jc w:val="both"/>
        <w:rPr>
          <w:sz w:val="24"/>
        </w:rPr>
      </w:pPr>
      <w:r>
        <w:rPr>
          <w:sz w:val="24"/>
        </w:rPr>
        <w:t>V ceno vodarine se lahko vključijo le stroški, ki jih je mogoče povezovati z opravljanjem storitev javne službe in vključuje naslednje skupine: neposredne stroške materiala in storitev; neposredne stroške dela; druge neposredne stroške; splošne proizvajalne stroške, ki vključujejo stroške materiala, amortizacije poslovno potrebnih osnovnih sredstev, storitev in dela; obresti zaradi financiranja opravljanja storitev javne službe; neposredne stroške prodaje; stroške vodnega povračila za prodano pitno vodo in za vodne izgube do dopustne ravni vodnih izgub v skladu s predpisom, ki ureja oskrbo s pitno vodo; druge poslovne odhodke; donos iz 16. tč. 2. člena Uredbe. Elementi cene so podrobneje navedeni v elaboratu v tč. 17.</w:t>
      </w:r>
    </w:p>
    <w:p w:rsidR="00D869C0" w:rsidRPr="006F4995" w:rsidRDefault="00D869C0" w:rsidP="00D869C0">
      <w:pPr>
        <w:jc w:val="both"/>
        <w:rPr>
          <w:sz w:val="24"/>
        </w:rPr>
      </w:pPr>
      <w:r>
        <w:rPr>
          <w:sz w:val="24"/>
        </w:rPr>
        <w:t>Nova cena vodarine, ki se bo uporabnikom zaračunavala po potrditvi tega elaborata je izračunana v višini 0,4345 EUR/m</w:t>
      </w:r>
      <w:r>
        <w:rPr>
          <w:sz w:val="24"/>
          <w:vertAlign w:val="superscript"/>
        </w:rPr>
        <w:t>3</w:t>
      </w:r>
      <w:r>
        <w:rPr>
          <w:sz w:val="24"/>
        </w:rPr>
        <w:t>. Pri izračunu vodarine je potrebno omeniti še, da se direktnim zavezancem za plačilo vodnega povračila cena vodarine zniža za znesek vodnih povračil.</w:t>
      </w:r>
    </w:p>
    <w:p w:rsidR="00D869C0" w:rsidRDefault="00D869C0" w:rsidP="00D869C0">
      <w:pPr>
        <w:jc w:val="both"/>
        <w:rPr>
          <w:sz w:val="24"/>
        </w:rPr>
      </w:pPr>
    </w:p>
    <w:p w:rsidR="00D869C0" w:rsidRDefault="00D869C0" w:rsidP="00D869C0">
      <w:pPr>
        <w:jc w:val="both"/>
        <w:rPr>
          <w:sz w:val="24"/>
        </w:rPr>
      </w:pPr>
      <w:r>
        <w:rPr>
          <w:sz w:val="24"/>
        </w:rPr>
        <w:t xml:space="preserve">V elaboratu je pod tč.17.2. prikazan izračun </w:t>
      </w:r>
      <w:proofErr w:type="spellStart"/>
      <w:r>
        <w:rPr>
          <w:sz w:val="24"/>
        </w:rPr>
        <w:t>omrežnine</w:t>
      </w:r>
      <w:proofErr w:type="spellEnd"/>
      <w:r>
        <w:rPr>
          <w:sz w:val="24"/>
        </w:rPr>
        <w:t xml:space="preserve">, ki vključuje stroške amortizacije ali najema osnovnih sredstev in naprav, ki so javna infrastruktura; stroške zavarovanja infrastrukture javne službe; stroške odškodnin, ki vključujejo odškodnine za služnost in povzročeno škodo, povezano z gradnjo, obnovo in vzdrževanjem infrastrukture javne službe; stroške obnove in vzdrževanja priključkov na javni vodovod v obsegu nalog izvajalca javne službe oskrbe s pitno vodo v skladu s predpisom, ki ureja oskrbo s pitno vodo; stroške nadomestil za zmanjšanje dohodka iz kmetijske dejavnosti v skladu s predpisi, ki urejajo nadomestila za zmanjšanje dohodka iz kmetijske dejavnosti zaradi prilagoditve ukrepom vodovarstvenega režima; plačilo za vodno pravico v skladu s predpisi, ki urejajo vode; odhodke financiranja v okviru stroškov </w:t>
      </w:r>
      <w:proofErr w:type="spellStart"/>
      <w:r>
        <w:rPr>
          <w:sz w:val="24"/>
        </w:rPr>
        <w:t>omrežnine</w:t>
      </w:r>
      <w:proofErr w:type="spellEnd"/>
      <w:r>
        <w:rPr>
          <w:sz w:val="24"/>
        </w:rPr>
        <w:t>, ki vključuje obresti in druge stroške, povezane z dolžniškim financiranjem gradnje ali obnove infrastrukture javne službe oskrba s pitno vodo, kjer se upošteva višina stroškov na podlagi podpisanih pogodb.</w:t>
      </w:r>
    </w:p>
    <w:p w:rsidR="00D869C0" w:rsidRDefault="00D869C0" w:rsidP="00D869C0">
      <w:pPr>
        <w:jc w:val="both"/>
        <w:rPr>
          <w:sz w:val="24"/>
        </w:rPr>
      </w:pPr>
      <w:proofErr w:type="spellStart"/>
      <w:r>
        <w:rPr>
          <w:sz w:val="24"/>
        </w:rPr>
        <w:t>Omrežnina</w:t>
      </w:r>
      <w:proofErr w:type="spellEnd"/>
      <w:r>
        <w:rPr>
          <w:sz w:val="24"/>
        </w:rPr>
        <w:t xml:space="preserve"> se določi na letni ravni in se uporabnikom storitev obračunava glede na zmogljivost priključkov, določeno s premerom vodomera v skladu s preglednico iz prvega odstavka 17. člena Uredbe (npr. DN&lt; / = 20 oziroma faktor 1). V tretjem, četrtem in petem odstavku 17. člena  Uredba opisuje način določanja </w:t>
      </w:r>
      <w:proofErr w:type="spellStart"/>
      <w:r>
        <w:rPr>
          <w:sz w:val="24"/>
        </w:rPr>
        <w:t>omrežnine</w:t>
      </w:r>
      <w:proofErr w:type="spellEnd"/>
      <w:r>
        <w:rPr>
          <w:sz w:val="24"/>
        </w:rPr>
        <w:t xml:space="preserve"> v stavbah, ki so opremljene s kombiniranim obračunskim vodomerom; v stavbah, ki nimajo obračunskega vodomera ter v večstanovanjskih stavbah v katerih posamezne stanovanjske enote nimajo obračunskih vodomerov. </w:t>
      </w:r>
    </w:p>
    <w:p w:rsidR="00D869C0" w:rsidRDefault="00D869C0" w:rsidP="00D869C0">
      <w:pPr>
        <w:jc w:val="both"/>
        <w:rPr>
          <w:sz w:val="24"/>
        </w:rPr>
      </w:pPr>
    </w:p>
    <w:p w:rsidR="00D869C0" w:rsidRDefault="00D869C0" w:rsidP="00D869C0">
      <w:pPr>
        <w:jc w:val="both"/>
        <w:rPr>
          <w:sz w:val="24"/>
        </w:rPr>
      </w:pPr>
      <w:r>
        <w:rPr>
          <w:sz w:val="24"/>
        </w:rPr>
        <w:t xml:space="preserve">Ker v zvezi s petim odstavkom 17. člena Uredbe (večstanovanjske stavbe) ni bilo natančnega pojasnila glede obračunavanja </w:t>
      </w:r>
      <w:proofErr w:type="spellStart"/>
      <w:r>
        <w:rPr>
          <w:sz w:val="24"/>
        </w:rPr>
        <w:t>omrežnine</w:t>
      </w:r>
      <w:proofErr w:type="spellEnd"/>
      <w:r>
        <w:rPr>
          <w:sz w:val="24"/>
        </w:rPr>
        <w:t xml:space="preserve">, se je do sedaj uporabnikom storitev </w:t>
      </w:r>
      <w:proofErr w:type="spellStart"/>
      <w:r>
        <w:rPr>
          <w:sz w:val="24"/>
        </w:rPr>
        <w:t>omrežnina</w:t>
      </w:r>
      <w:proofErr w:type="spellEnd"/>
      <w:r>
        <w:rPr>
          <w:sz w:val="24"/>
        </w:rPr>
        <w:t xml:space="preserve"> obračunavala glede na velikost vodomera, na katerega je bila priključena stavba, znesek </w:t>
      </w:r>
      <w:proofErr w:type="spellStart"/>
      <w:r>
        <w:rPr>
          <w:sz w:val="24"/>
        </w:rPr>
        <w:t>omrežnine</w:t>
      </w:r>
      <w:proofErr w:type="spellEnd"/>
      <w:r>
        <w:rPr>
          <w:sz w:val="24"/>
        </w:rPr>
        <w:t xml:space="preserve"> se je med uporabnike porazdelil po kriteriju števila stanovanj v stavbi.</w:t>
      </w:r>
    </w:p>
    <w:p w:rsidR="00D869C0" w:rsidRDefault="00D869C0" w:rsidP="00D869C0">
      <w:pPr>
        <w:jc w:val="both"/>
        <w:rPr>
          <w:sz w:val="24"/>
        </w:rPr>
      </w:pPr>
      <w:r>
        <w:rPr>
          <w:sz w:val="24"/>
        </w:rPr>
        <w:t xml:space="preserve">Dne 6.1.2014 smo prejeli pisno razlago Ministrstva za kmetijstvo in okolje, Direktorat za javne službe varstva okolja in investicije v okolje (v nadaljevanju: MKO), št. 35406-259/2013-5, da se v večstanovanjskih stavbah, v katerih posamezna stanovanjska enota nima obračunskega vodomera, za vsako stanovanjsko enoto </w:t>
      </w:r>
      <w:proofErr w:type="spellStart"/>
      <w:r>
        <w:rPr>
          <w:sz w:val="24"/>
        </w:rPr>
        <w:t>omrežnina</w:t>
      </w:r>
      <w:proofErr w:type="spellEnd"/>
      <w:r>
        <w:rPr>
          <w:sz w:val="24"/>
        </w:rPr>
        <w:t xml:space="preserve"> obračuna za priključek s faktorjem 1 v skladu s preglednico iz Uredbe. Na podlagi te razlage je potrebno v večstanovanjskih stavbah za vsako stanovanje upoštevati </w:t>
      </w:r>
      <w:proofErr w:type="spellStart"/>
      <w:r>
        <w:rPr>
          <w:sz w:val="24"/>
        </w:rPr>
        <w:t>omrežnino</w:t>
      </w:r>
      <w:proofErr w:type="spellEnd"/>
      <w:r>
        <w:rPr>
          <w:sz w:val="24"/>
        </w:rPr>
        <w:t xml:space="preserve"> za vodomer DN 20, ne glede na dimenzijo priključka večstanovanjske stavbe (bloka). </w:t>
      </w:r>
    </w:p>
    <w:p w:rsidR="00D869C0" w:rsidRDefault="00D869C0" w:rsidP="00D869C0">
      <w:pPr>
        <w:jc w:val="both"/>
        <w:rPr>
          <w:sz w:val="24"/>
        </w:rPr>
      </w:pPr>
      <w:r>
        <w:rPr>
          <w:sz w:val="24"/>
        </w:rPr>
        <w:t xml:space="preserve">V tč. 17.2. elaborata je prikazan izračun </w:t>
      </w:r>
      <w:proofErr w:type="spellStart"/>
      <w:r>
        <w:rPr>
          <w:sz w:val="24"/>
        </w:rPr>
        <w:t>omrežnine</w:t>
      </w:r>
      <w:proofErr w:type="spellEnd"/>
      <w:r>
        <w:rPr>
          <w:sz w:val="24"/>
        </w:rPr>
        <w:t xml:space="preserve"> po novem, kjer so vključeni tudi podatki o številu stanovanj.  Skupno število priključkov znaša 7.812, iz tabele je razvidno tudi ostalo število priključkov in prikaz po faktorjih. Število priključkov, ki je bilo izhodišče za izračun </w:t>
      </w:r>
      <w:proofErr w:type="spellStart"/>
      <w:r>
        <w:rPr>
          <w:sz w:val="24"/>
        </w:rPr>
        <w:t>omrežnine</w:t>
      </w:r>
      <w:proofErr w:type="spellEnd"/>
      <w:r>
        <w:rPr>
          <w:sz w:val="24"/>
        </w:rPr>
        <w:t xml:space="preserve"> v letu 2013 je prikazano v tč. 8.2 elaborata.</w:t>
      </w:r>
    </w:p>
    <w:p w:rsidR="00D869C0" w:rsidRDefault="00D869C0" w:rsidP="00D869C0">
      <w:pPr>
        <w:jc w:val="both"/>
        <w:rPr>
          <w:sz w:val="24"/>
        </w:rPr>
      </w:pPr>
      <w:r>
        <w:rPr>
          <w:sz w:val="24"/>
        </w:rPr>
        <w:lastRenderedPageBreak/>
        <w:t xml:space="preserve">Pojasnilo odmikov obračunske cene od predračunske in od potrjene cene </w:t>
      </w:r>
      <w:proofErr w:type="spellStart"/>
      <w:r>
        <w:rPr>
          <w:sz w:val="24"/>
        </w:rPr>
        <w:t>omrežnine</w:t>
      </w:r>
      <w:proofErr w:type="spellEnd"/>
      <w:r>
        <w:rPr>
          <w:sz w:val="24"/>
        </w:rPr>
        <w:t xml:space="preserve"> je podano na strani 12 v tč. 3.2. in sicer je obračunska cena višja od predračunske in potrjene cene za 21,78 %. Glavni razlog za odstopanje je zmanjšanje števila priključkov večjih dimenzij, saj so po uvedbi cen v letu 2013 uporabniki množično pričeli zmanjševati dimenzije svojih vodomerov. To predstavlja poglavitni razlog za negativen rezultat iz naslova </w:t>
      </w:r>
      <w:proofErr w:type="spellStart"/>
      <w:r>
        <w:rPr>
          <w:sz w:val="24"/>
        </w:rPr>
        <w:t>omrežnine</w:t>
      </w:r>
      <w:proofErr w:type="spellEnd"/>
      <w:r>
        <w:rPr>
          <w:sz w:val="24"/>
        </w:rPr>
        <w:t xml:space="preserve"> v letu 2014. </w:t>
      </w:r>
    </w:p>
    <w:p w:rsidR="00D869C0" w:rsidRDefault="00D869C0" w:rsidP="00D869C0">
      <w:pPr>
        <w:jc w:val="both"/>
        <w:rPr>
          <w:sz w:val="24"/>
        </w:rPr>
      </w:pPr>
    </w:p>
    <w:p w:rsidR="00D869C0" w:rsidRDefault="00D869C0" w:rsidP="00D869C0">
      <w:pPr>
        <w:jc w:val="both"/>
        <w:rPr>
          <w:sz w:val="24"/>
        </w:rPr>
      </w:pPr>
      <w:r>
        <w:rPr>
          <w:sz w:val="24"/>
        </w:rPr>
        <w:t xml:space="preserve">Zaradi uskladitve obračuna </w:t>
      </w:r>
      <w:proofErr w:type="spellStart"/>
      <w:r>
        <w:rPr>
          <w:sz w:val="24"/>
        </w:rPr>
        <w:t>omrežnine</w:t>
      </w:r>
      <w:proofErr w:type="spellEnd"/>
      <w:r>
        <w:rPr>
          <w:sz w:val="24"/>
        </w:rPr>
        <w:t xml:space="preserve"> v skladu z metodologijo in pridobljeno razlago MKO znaša </w:t>
      </w:r>
      <w:proofErr w:type="spellStart"/>
      <w:r>
        <w:rPr>
          <w:sz w:val="24"/>
        </w:rPr>
        <w:t>omrežnina</w:t>
      </w:r>
      <w:proofErr w:type="spellEnd"/>
      <w:r>
        <w:rPr>
          <w:sz w:val="24"/>
        </w:rPr>
        <w:t xml:space="preserve"> za priključek s premerom DN 20, določena v tem elaboratu, 5,7662 EUR mesečno.</w:t>
      </w:r>
    </w:p>
    <w:p w:rsidR="00D869C0" w:rsidRDefault="00D869C0" w:rsidP="00D869C0">
      <w:pPr>
        <w:jc w:val="both"/>
        <w:rPr>
          <w:sz w:val="24"/>
        </w:rPr>
      </w:pPr>
    </w:p>
    <w:p w:rsidR="00D869C0" w:rsidRPr="00145283" w:rsidRDefault="00D869C0" w:rsidP="00D869C0">
      <w:pPr>
        <w:jc w:val="both"/>
        <w:rPr>
          <w:sz w:val="24"/>
        </w:rPr>
      </w:pPr>
      <w:r>
        <w:rPr>
          <w:sz w:val="24"/>
        </w:rPr>
        <w:t xml:space="preserve">V elaboratu je na strani od 26 do 29 prikazana tudi analiza stroškov tipičnih uporabnikov  (primeri: gospodinjstvo v enostanovanjski hiši za 4 člansko družino; gospodinjstvo s kmetijo za 4 člansko družino z dvema vodomeroma, gospodinjstvo v večstanovanjski stavbi za 4 člansko družino - stanovanje v bloku z 20 stanovanji z različnimi velikostmi glavnega priključka (3 primeri); industrija (3 primeri: velik, večji in manjši industrijski porabnik). Elaborat na strani 30 prikazuje primerjavo obstoječih cen </w:t>
      </w:r>
      <w:proofErr w:type="spellStart"/>
      <w:r>
        <w:rPr>
          <w:sz w:val="24"/>
        </w:rPr>
        <w:t>vodooskrbe</w:t>
      </w:r>
      <w:proofErr w:type="spellEnd"/>
      <w:r>
        <w:rPr>
          <w:sz w:val="24"/>
        </w:rPr>
        <w:t xml:space="preserve"> po Sloveniji.</w:t>
      </w:r>
    </w:p>
    <w:p w:rsidR="00D869C0" w:rsidRDefault="00D869C0" w:rsidP="00D869C0">
      <w:pPr>
        <w:jc w:val="both"/>
        <w:rPr>
          <w:sz w:val="24"/>
        </w:rPr>
      </w:pPr>
    </w:p>
    <w:p w:rsidR="00D869C0" w:rsidRDefault="00D869C0" w:rsidP="00D869C0">
      <w:pPr>
        <w:jc w:val="both"/>
        <w:rPr>
          <w:sz w:val="24"/>
        </w:rPr>
      </w:pPr>
      <w:r>
        <w:rPr>
          <w:sz w:val="24"/>
        </w:rPr>
        <w:t>V gradivu, ki se posreduje v obravnavo, je poleg Elaborata o oblikovanju cene storitev javne službe oskrba s pitno vodo v Mestni občini Murska Sobota, št. V05-055/2014, november 2014, priložen še predlog Sklepa, s katerim se potrdi in sprejme priloženi Elaborat ter predlog Sklepa o oblikovanju cen storitev oskrba s pitno vodo v Mestni občini Murska Sobota, s katerim se potrdijo cene navedene storitve.</w:t>
      </w:r>
    </w:p>
    <w:p w:rsidR="00D869C0" w:rsidRDefault="00D869C0" w:rsidP="00D869C0">
      <w:pPr>
        <w:jc w:val="both"/>
        <w:rPr>
          <w:sz w:val="24"/>
        </w:rPr>
      </w:pPr>
    </w:p>
    <w:p w:rsidR="00D869C0" w:rsidRDefault="00D869C0" w:rsidP="00D869C0">
      <w:pPr>
        <w:jc w:val="both"/>
        <w:rPr>
          <w:sz w:val="24"/>
        </w:rPr>
      </w:pPr>
      <w:r>
        <w:rPr>
          <w:sz w:val="24"/>
        </w:rPr>
        <w:t>Pristojni organ občine mora v skladu s tretjim odstavkom 6. člena Uredbe mora začeti postopek potrjevanja cene, ko izvajalec javne službe enkrat letno pripravi elaborat v skladu z določili  te Uredbe. Ta organ lahko določi tudi višino morebitne subvencije za najemnino in to za gospodinjstva in izvajalce nepridob</w:t>
      </w:r>
      <w:bookmarkStart w:id="0" w:name="_GoBack"/>
      <w:bookmarkEnd w:id="0"/>
      <w:r>
        <w:rPr>
          <w:sz w:val="24"/>
        </w:rPr>
        <w:t>itne dejavnosti. Subvencija se pokriva iz proračuna občine.</w:t>
      </w:r>
    </w:p>
    <w:p w:rsidR="00D869C0" w:rsidRDefault="00D869C0" w:rsidP="00D869C0">
      <w:pPr>
        <w:jc w:val="both"/>
        <w:rPr>
          <w:sz w:val="24"/>
        </w:rPr>
      </w:pPr>
    </w:p>
    <w:p w:rsidR="00D869C0" w:rsidRDefault="00D869C0" w:rsidP="00D869C0">
      <w:pPr>
        <w:jc w:val="both"/>
        <w:rPr>
          <w:sz w:val="24"/>
        </w:rPr>
      </w:pPr>
      <w:r>
        <w:rPr>
          <w:sz w:val="24"/>
        </w:rPr>
        <w:t xml:space="preserve">Na podlagi gornje obrazložitve izvajalec posreduje pristojnemu organu občine - Mestnemu svetu mestne občine Murska Sobota v sprejem predlagano ceno storitev javne službe, ki je sestavljena iz </w:t>
      </w:r>
      <w:proofErr w:type="spellStart"/>
      <w:r>
        <w:rPr>
          <w:sz w:val="24"/>
        </w:rPr>
        <w:t>omrežnine</w:t>
      </w:r>
      <w:proofErr w:type="spellEnd"/>
      <w:r>
        <w:rPr>
          <w:sz w:val="24"/>
        </w:rPr>
        <w:t xml:space="preserve"> in cene storitve izvajanja javne službe. Predlagane cene bi se začele uporabljati od 1. </w:t>
      </w:r>
      <w:r w:rsidR="00773110">
        <w:rPr>
          <w:sz w:val="24"/>
        </w:rPr>
        <w:t>marca</w:t>
      </w:r>
      <w:r>
        <w:rPr>
          <w:sz w:val="24"/>
        </w:rPr>
        <w:t xml:space="preserve"> 2015 dalje.</w:t>
      </w:r>
    </w:p>
    <w:p w:rsidR="00D869C0" w:rsidRDefault="00D869C0" w:rsidP="00D869C0">
      <w:pPr>
        <w:jc w:val="both"/>
        <w:rPr>
          <w:sz w:val="24"/>
        </w:rPr>
      </w:pPr>
    </w:p>
    <w:p w:rsidR="00D869C0" w:rsidRPr="00145283" w:rsidRDefault="00D869C0" w:rsidP="00D869C0">
      <w:pPr>
        <w:jc w:val="both"/>
        <w:rPr>
          <w:i/>
          <w:sz w:val="24"/>
        </w:rPr>
      </w:pPr>
      <w:r w:rsidRPr="00145283">
        <w:rPr>
          <w:i/>
          <w:sz w:val="24"/>
        </w:rPr>
        <w:t>PREDLOG SKLEPA:</w:t>
      </w:r>
    </w:p>
    <w:p w:rsidR="00D869C0" w:rsidRDefault="00D869C0" w:rsidP="00D869C0">
      <w:pPr>
        <w:jc w:val="both"/>
        <w:rPr>
          <w:sz w:val="24"/>
        </w:rPr>
      </w:pPr>
      <w:r>
        <w:rPr>
          <w:sz w:val="24"/>
        </w:rPr>
        <w:t>Mestnemu svetu mestne občine Murska Sobota se predlaga, da obravnava gradivo v predloženi vsebini in sprejme Sklep o potrditvi elaborata ter Sklep o oblikovanju cen storitev oskrba s pitno vodo.</w:t>
      </w:r>
    </w:p>
    <w:p w:rsidR="00D869C0" w:rsidRDefault="00D869C0" w:rsidP="00D869C0">
      <w:pPr>
        <w:jc w:val="both"/>
        <w:rPr>
          <w:sz w:val="24"/>
        </w:rPr>
      </w:pPr>
    </w:p>
    <w:p w:rsidR="00D869C0" w:rsidRDefault="00D869C0" w:rsidP="00D869C0">
      <w:pPr>
        <w:rPr>
          <w:rFonts w:ascii="Times New Roman CE" w:hAnsi="Times New Roman CE"/>
          <w:sz w:val="24"/>
        </w:rPr>
      </w:pPr>
      <w:proofErr w:type="spellStart"/>
      <w:r>
        <w:rPr>
          <w:rFonts w:ascii="Times New Roman CE" w:hAnsi="Times New Roman CE"/>
          <w:sz w:val="24"/>
        </w:rPr>
        <w:t>Zap</w:t>
      </w:r>
      <w:proofErr w:type="spellEnd"/>
      <w:r>
        <w:rPr>
          <w:rFonts w:ascii="Times New Roman CE" w:hAnsi="Times New Roman CE"/>
          <w:sz w:val="24"/>
        </w:rPr>
        <w:t>.št.</w:t>
      </w:r>
      <w:r>
        <w:rPr>
          <w:rFonts w:ascii="Times New Roman CE" w:hAnsi="Times New Roman CE"/>
          <w:sz w:val="24"/>
        </w:rPr>
        <w:tab/>
        <w:t xml:space="preserve">: </w:t>
      </w:r>
      <w:bookmarkStart w:id="1" w:name="Stev"/>
      <w:bookmarkEnd w:id="1"/>
      <w:r>
        <w:rPr>
          <w:rFonts w:ascii="Times New Roman CE" w:hAnsi="Times New Roman CE"/>
          <w:sz w:val="24"/>
        </w:rPr>
        <w:t>V05-090/2014-HE</w:t>
      </w:r>
      <w:r>
        <w:rPr>
          <w:rFonts w:ascii="Times New Roman CE" w:hAnsi="Times New Roman CE"/>
          <w:sz w:val="24"/>
        </w:rPr>
        <w:tab/>
      </w:r>
    </w:p>
    <w:p w:rsidR="00D869C0" w:rsidRDefault="00D869C0" w:rsidP="00D869C0">
      <w:pPr>
        <w:rPr>
          <w:sz w:val="24"/>
        </w:rPr>
      </w:pPr>
      <w:r>
        <w:rPr>
          <w:sz w:val="24"/>
        </w:rPr>
        <w:t>Murska Sobota, november 2014</w:t>
      </w:r>
    </w:p>
    <w:p w:rsidR="00D869C0" w:rsidRDefault="00D869C0" w:rsidP="00D869C0">
      <w:pPr>
        <w:jc w:val="both"/>
        <w:rPr>
          <w:sz w:val="24"/>
        </w:rPr>
      </w:pPr>
    </w:p>
    <w:p w:rsidR="00D869C0" w:rsidRDefault="00D869C0" w:rsidP="00D869C0">
      <w:pPr>
        <w:jc w:val="both"/>
        <w:rPr>
          <w:sz w:val="24"/>
        </w:rPr>
      </w:pPr>
    </w:p>
    <w:tbl>
      <w:tblPr>
        <w:tblW w:w="0" w:type="auto"/>
        <w:tblLook w:val="04A0" w:firstRow="1" w:lastRow="0" w:firstColumn="1" w:lastColumn="0" w:noHBand="0" w:noVBand="1"/>
      </w:tblPr>
      <w:tblGrid>
        <w:gridCol w:w="4747"/>
        <w:gridCol w:w="4748"/>
      </w:tblGrid>
      <w:tr w:rsidR="00D869C0" w:rsidRPr="00145283" w:rsidTr="00054BFE">
        <w:tc>
          <w:tcPr>
            <w:tcW w:w="4747" w:type="dxa"/>
          </w:tcPr>
          <w:p w:rsidR="00D869C0" w:rsidRPr="00145283" w:rsidRDefault="00D869C0" w:rsidP="00054BFE">
            <w:pPr>
              <w:jc w:val="both"/>
              <w:rPr>
                <w:sz w:val="24"/>
              </w:rPr>
            </w:pPr>
            <w:r w:rsidRPr="00145283">
              <w:rPr>
                <w:sz w:val="24"/>
              </w:rPr>
              <w:t>Pripravile:</w:t>
            </w:r>
          </w:p>
          <w:p w:rsidR="00D869C0" w:rsidRPr="00145283" w:rsidRDefault="00D869C0" w:rsidP="00054BFE">
            <w:pPr>
              <w:jc w:val="both"/>
              <w:rPr>
                <w:sz w:val="24"/>
              </w:rPr>
            </w:pPr>
            <w:r w:rsidRPr="00145283">
              <w:rPr>
                <w:sz w:val="24"/>
              </w:rPr>
              <w:t xml:space="preserve">Strokovne službe </w:t>
            </w:r>
          </w:p>
          <w:p w:rsidR="00D869C0" w:rsidRDefault="00D869C0" w:rsidP="00054BFE">
            <w:pPr>
              <w:jc w:val="both"/>
              <w:rPr>
                <w:sz w:val="24"/>
              </w:rPr>
            </w:pPr>
            <w:r w:rsidRPr="00145283">
              <w:rPr>
                <w:sz w:val="24"/>
              </w:rPr>
              <w:t>javnega podjetja</w:t>
            </w:r>
          </w:p>
          <w:p w:rsidR="00D869C0" w:rsidRPr="00145283" w:rsidRDefault="00D869C0" w:rsidP="00054BFE">
            <w:pPr>
              <w:jc w:val="both"/>
              <w:rPr>
                <w:sz w:val="24"/>
              </w:rPr>
            </w:pPr>
            <w:r>
              <w:rPr>
                <w:sz w:val="24"/>
              </w:rPr>
              <w:t>Vodovod Murska Sobota</w:t>
            </w:r>
            <w:r w:rsidRPr="00145283">
              <w:rPr>
                <w:sz w:val="24"/>
              </w:rPr>
              <w:t xml:space="preserve"> d.o.o.</w:t>
            </w:r>
          </w:p>
        </w:tc>
        <w:tc>
          <w:tcPr>
            <w:tcW w:w="4748" w:type="dxa"/>
          </w:tcPr>
          <w:p w:rsidR="00D869C0" w:rsidRPr="00145283" w:rsidRDefault="00D869C0" w:rsidP="00054BFE">
            <w:pPr>
              <w:jc w:val="center"/>
              <w:rPr>
                <w:sz w:val="24"/>
              </w:rPr>
            </w:pPr>
            <w:r w:rsidRPr="00145283">
              <w:rPr>
                <w:sz w:val="24"/>
              </w:rPr>
              <w:t>Župan</w:t>
            </w:r>
          </w:p>
          <w:p w:rsidR="00D869C0" w:rsidRPr="00145283" w:rsidRDefault="00D869C0" w:rsidP="00054BFE">
            <w:pPr>
              <w:jc w:val="center"/>
              <w:rPr>
                <w:sz w:val="24"/>
              </w:rPr>
            </w:pPr>
            <w:r w:rsidRPr="00145283">
              <w:rPr>
                <w:sz w:val="24"/>
              </w:rPr>
              <w:t xml:space="preserve"> Mestne občine Murska Sobota </w:t>
            </w:r>
          </w:p>
          <w:p w:rsidR="00D869C0" w:rsidRPr="00145283" w:rsidRDefault="00D869C0" w:rsidP="00054BFE">
            <w:pPr>
              <w:jc w:val="center"/>
              <w:rPr>
                <w:sz w:val="24"/>
              </w:rPr>
            </w:pPr>
            <w:r w:rsidRPr="00145283">
              <w:rPr>
                <w:sz w:val="24"/>
              </w:rPr>
              <w:t>mag. Aleksander JEVŠEK</w:t>
            </w:r>
          </w:p>
        </w:tc>
      </w:tr>
    </w:tbl>
    <w:p w:rsidR="00D869C0" w:rsidRDefault="00D869C0" w:rsidP="00D869C0">
      <w:pPr>
        <w:rPr>
          <w:sz w:val="24"/>
        </w:rPr>
      </w:pPr>
    </w:p>
    <w:p w:rsidR="00D869C0" w:rsidRDefault="00D869C0">
      <w:pPr>
        <w:rPr>
          <w:rFonts w:ascii="Times New Roman CE" w:hAnsi="Times New Roman CE"/>
          <w:sz w:val="24"/>
        </w:rPr>
      </w:pPr>
    </w:p>
    <w:p w:rsidR="00092627" w:rsidRDefault="00092627">
      <w:pPr>
        <w:rPr>
          <w:rFonts w:ascii="Times New Roman CE" w:hAnsi="Times New Roman CE"/>
          <w:sz w:val="24"/>
        </w:rPr>
      </w:pPr>
    </w:p>
    <w:sectPr w:rsidR="00092627" w:rsidSect="00D869C0">
      <w:pgSz w:w="11907" w:h="16840" w:code="9"/>
      <w:pgMar w:top="1418" w:right="1134" w:bottom="1418" w:left="1418" w:header="708" w:footer="70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EB5132"/>
    <w:multiLevelType w:val="hybridMultilevel"/>
    <w:tmpl w:val="5FEEC0D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00"/>
  <w:drawingGridVerticalSpacing w:val="120"/>
  <w:displayHorizontalDrawingGridEvery w:val="2"/>
  <w:displayVerticalDrawingGridEvery w:val="0"/>
  <w:doNotUseMarginsForDrawingGridOrigin/>
  <w:characterSpacingControl w:val="doNotCompress"/>
  <w:compat>
    <w:spaceForUL/>
    <w:balanceSingleByteDoubleByteWidth/>
    <w:doNotLeaveBackslashAlone/>
    <w:ulTrailSpace/>
    <w:doNotExpandShiftReturn/>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3DC5"/>
    <w:rsid w:val="00045ADF"/>
    <w:rsid w:val="00092627"/>
    <w:rsid w:val="000A156D"/>
    <w:rsid w:val="00163DC5"/>
    <w:rsid w:val="002C485D"/>
    <w:rsid w:val="004E72D2"/>
    <w:rsid w:val="00525825"/>
    <w:rsid w:val="00773110"/>
    <w:rsid w:val="00B76989"/>
    <w:rsid w:val="00C778F3"/>
    <w:rsid w:val="00D869C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pPr>
      <w:overflowPunct w:val="0"/>
      <w:autoSpaceDE w:val="0"/>
      <w:autoSpaceDN w:val="0"/>
      <w:adjustRightInd w:val="0"/>
      <w:textAlignment w:val="baseline"/>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edloge\V_DOPISI.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V_DOPISI</Template>
  <TotalTime>0</TotalTime>
  <Pages>3</Pages>
  <Words>1520</Words>
  <Characters>8726</Characters>
  <Application>Microsoft Office Word</Application>
  <DocSecurity>0</DocSecurity>
  <Lines>72</Lines>
  <Paragraphs>20</Paragraphs>
  <ScaleCrop>false</ScaleCrop>
  <HeadingPairs>
    <vt:vector size="2" baseType="variant">
      <vt:variant>
        <vt:lpstr>Naslov</vt:lpstr>
      </vt:variant>
      <vt:variant>
        <vt:i4>1</vt:i4>
      </vt:variant>
    </vt:vector>
  </HeadingPairs>
  <TitlesOfParts>
    <vt:vector size="1" baseType="lpstr">
      <vt:lpstr>Komunala</vt:lpstr>
    </vt:vector>
  </TitlesOfParts>
  <Company> </Company>
  <LinksUpToDate>false</LinksUpToDate>
  <CharactersWithSpaces>10226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Dopisi  </dc:title>
  <dc:subject>MESTNA OBČINA</dc:subject>
  <dc:creator>Silva</dc:creator>
  <cp:keywords>V_DOPISI.DOT</cp:keywords>
  <dc:description/>
  <cp:lastModifiedBy>Silva Olaj</cp:lastModifiedBy>
  <cp:revision>2</cp:revision>
  <cp:lastPrinted>2014-12-19T08:15:00Z</cp:lastPrinted>
  <dcterms:created xsi:type="dcterms:W3CDTF">2015-01-15T08:02:00Z</dcterms:created>
  <dcterms:modified xsi:type="dcterms:W3CDTF">2015-01-15T08:02:00Z</dcterms:modified>
</cp:coreProperties>
</file>